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ascii="微软雅黑" w:hAnsi="微软雅黑" w:eastAsia="微软雅黑" w:cs="微软雅黑"/>
          <w:b/>
          <w:sz w:val="36"/>
          <w:szCs w:val="36"/>
        </w:rPr>
        <w:t>关于印发《上海市市级行政单位通用办公设备家具配置标准（试行）》的通知</w:t>
      </w:r>
    </w:p>
    <w:p>
      <w:pPr>
        <w:jc w:val="right"/>
        <w:rPr>
          <w:rFonts w:ascii="仿宋" w:hAnsi="仿宋" w:eastAsia="仿宋"/>
          <w:sz w:val="30"/>
          <w:szCs w:val="30"/>
        </w:rPr>
      </w:pPr>
      <w:r>
        <w:rPr>
          <w:rFonts w:hint="eastAsia" w:ascii="仿宋" w:hAnsi="仿宋" w:eastAsia="仿宋"/>
          <w:sz w:val="30"/>
          <w:szCs w:val="30"/>
        </w:rPr>
        <w:t>沪财行（2014）39号</w:t>
      </w:r>
    </w:p>
    <w:p>
      <w:pPr>
        <w:widowControl/>
        <w:spacing w:line="480" w:lineRule="atLeast"/>
        <w:ind w:left="300" w:right="300"/>
        <w:jc w:val="left"/>
        <w:rPr>
          <w:rFonts w:hint="eastAsia"/>
        </w:rPr>
      </w:pPr>
      <w:r>
        <w:rPr>
          <w:rFonts w:hint="eastAsia"/>
        </w:rPr>
        <w:t>市政府各委、办、局，各有关单位：</w:t>
      </w:r>
    </w:p>
    <w:p>
      <w:pPr>
        <w:widowControl/>
        <w:spacing w:line="480" w:lineRule="atLeast"/>
        <w:ind w:left="300" w:right="300"/>
        <w:jc w:val="left"/>
        <w:rPr>
          <w:rFonts w:hint="eastAsia"/>
        </w:rPr>
      </w:pPr>
      <w:r>
        <w:rPr>
          <w:rFonts w:hint="eastAsia"/>
          <w:lang w:val="en-US" w:eastAsia="zh-CN"/>
        </w:rPr>
        <w:t xml:space="preserve">    </w:t>
      </w:r>
      <w:r>
        <w:rPr>
          <w:rFonts w:hint="eastAsia"/>
        </w:rPr>
        <w:t>为加强市级行政单位通用办公设备家具购置管理，进一步推进部门预算管理制度改革，强化资产管理与预算管理的有机结合，提高预算编制的科学化、精细化水平，我局制定了《上海市市级行政单位通用办公设备家具配置标准（试行）》，现印发给你们，请按照执行。执行中有何问题，请及时向我局反映。</w:t>
      </w:r>
    </w:p>
    <w:p>
      <w:pPr>
        <w:widowControl/>
        <w:spacing w:line="480" w:lineRule="atLeast"/>
        <w:ind w:left="300" w:right="300"/>
        <w:jc w:val="right"/>
        <w:rPr>
          <w:rFonts w:hint="eastAsia"/>
        </w:rPr>
      </w:pPr>
      <w:r>
        <w:rPr>
          <w:rFonts w:hint="eastAsia"/>
        </w:rPr>
        <w:t>上海市财政局</w:t>
      </w:r>
    </w:p>
    <w:p>
      <w:pPr>
        <w:widowControl/>
        <w:spacing w:line="480" w:lineRule="atLeast"/>
        <w:ind w:left="300" w:right="300"/>
        <w:jc w:val="right"/>
        <w:rPr>
          <w:rFonts w:hint="eastAsia"/>
        </w:rPr>
      </w:pPr>
      <w:r>
        <w:rPr>
          <w:rFonts w:hint="eastAsia"/>
        </w:rPr>
        <w:t>2014年8月15日</w:t>
      </w:r>
    </w:p>
    <w:p>
      <w:pPr>
        <w:ind w:firstLine="723" w:firstLineChars="200"/>
        <w:jc w:val="center"/>
        <w:rPr>
          <w:rFonts w:hint="eastAsia"/>
          <w:b/>
          <w:bCs/>
          <w:sz w:val="36"/>
          <w:szCs w:val="36"/>
        </w:rPr>
      </w:pPr>
      <w:r>
        <w:rPr>
          <w:rFonts w:hint="eastAsia"/>
          <w:b/>
          <w:bCs/>
          <w:sz w:val="36"/>
          <w:szCs w:val="36"/>
        </w:rPr>
        <w:br w:type="page"/>
      </w:r>
    </w:p>
    <w:p>
      <w:pPr>
        <w:ind w:firstLine="720" w:firstLineChars="200"/>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上海市市级行政单位</w:t>
      </w:r>
    </w:p>
    <w:p>
      <w:pPr>
        <w:ind w:firstLine="720" w:firstLineChars="200"/>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通用办公设备家具配置标准</w:t>
      </w:r>
    </w:p>
    <w:p>
      <w:pPr>
        <w:ind w:firstLine="720" w:firstLineChars="200"/>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（试行）</w:t>
      </w:r>
    </w:p>
    <w:p>
      <w:pPr>
        <w:pStyle w:val="8"/>
        <w:numPr>
          <w:ilvl w:val="0"/>
          <w:numId w:val="1"/>
        </w:numPr>
        <w:ind w:left="561" w:firstLine="0" w:firstLineChars="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为加强市级行政单位通用办公设备家具购置管理，进一步推进部门预算管理制度改革，强化资产管理与预算管理的有机结合，根据行政单位国有资产管理的有关规定，制定本标准。</w:t>
      </w:r>
    </w:p>
    <w:p>
      <w:pPr>
        <w:pStyle w:val="8"/>
        <w:numPr>
          <w:ilvl w:val="0"/>
          <w:numId w:val="1"/>
        </w:numPr>
        <w:ind w:left="561" w:firstLine="0" w:firstLineChars="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本标准适用于本市市级行政单位通用办公设备家具的配置和管理，是部门预算编制和审核的依据。</w:t>
      </w:r>
    </w:p>
    <w:p>
      <w:pPr>
        <w:pStyle w:val="8"/>
        <w:numPr>
          <w:ilvl w:val="0"/>
          <w:numId w:val="1"/>
        </w:numPr>
        <w:ind w:left="561" w:firstLine="0" w:firstLineChars="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本标准所称通用办公设备家具，是指满足市级行政单位行政办公基本需要的设备家具，包括通用办公设备、办公家具等，不含特殊需要的专业类办公设备家具。</w:t>
      </w:r>
    </w:p>
    <w:p>
      <w:pPr>
        <w:ind w:left="560" w:hanging="560" w:hanging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对购置未列入本标准的其他通用办公设备家具，应当按照与市级行政单位履行职能相适应的原则，从严控制、合理配置。</w:t>
      </w:r>
    </w:p>
    <w:p>
      <w:pPr>
        <w:pStyle w:val="8"/>
        <w:numPr>
          <w:ilvl w:val="0"/>
          <w:numId w:val="1"/>
        </w:numPr>
        <w:ind w:left="561" w:firstLine="0" w:firstLineChars="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市级行政单位通用办公设备家具配置标准包括实物量标准、价格上限标准以及使用年限标准三部分。</w:t>
      </w:r>
    </w:p>
    <w:p>
      <w:pPr>
        <w:pStyle w:val="8"/>
        <w:numPr>
          <w:ilvl w:val="0"/>
          <w:numId w:val="1"/>
        </w:numPr>
        <w:ind w:left="561" w:firstLine="0" w:firstLineChars="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实物量标准实行双向控制：</w:t>
      </w:r>
    </w:p>
    <w:p>
      <w:pPr>
        <w:pStyle w:val="8"/>
        <w:numPr>
          <w:ilvl w:val="0"/>
          <w:numId w:val="2"/>
        </w:numPr>
        <w:ind w:firstLineChars="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按工作人员级别和内设机构数设置标准。省部级领导按需要配备。其他人员按照局级、处级、科级以下三个级别进行划分。</w:t>
      </w:r>
    </w:p>
    <w:p>
      <w:pPr>
        <w:pStyle w:val="8"/>
        <w:numPr>
          <w:ilvl w:val="0"/>
          <w:numId w:val="2"/>
        </w:numPr>
        <w:ind w:firstLineChars="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按单位编制内实有人数设置标准。单位编制数是指独立核算行政单位的行政编制数。</w:t>
      </w:r>
    </w:p>
    <w:p>
      <w:pPr>
        <w:pStyle w:val="8"/>
        <w:numPr>
          <w:ilvl w:val="0"/>
          <w:numId w:val="1"/>
        </w:numPr>
        <w:ind w:left="561" w:firstLine="0" w:firstLineChars="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实物量标准是在兼顾各种需要情况下，购置通用办公设备家具的最高数量限制标准，不是必需达到的标准。</w:t>
      </w:r>
    </w:p>
    <w:p>
      <w:pPr>
        <w:pStyle w:val="8"/>
        <w:ind w:left="561" w:firstLine="0" w:firstLineChars="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购置具有日常办公功能的专业类办公设备家具的，应当相应减少通用办公设备家具的数量。</w:t>
      </w:r>
    </w:p>
    <w:p>
      <w:pPr>
        <w:pStyle w:val="8"/>
        <w:numPr>
          <w:ilvl w:val="0"/>
          <w:numId w:val="1"/>
        </w:numPr>
        <w:ind w:left="561" w:firstLine="0" w:firstLineChars="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价格上限标准是购置通用办公设备家具的价格上限，应当在通用办公设备家具功能满足使用要求的前提下努力节约经费开支。</w:t>
      </w:r>
    </w:p>
    <w:p>
      <w:pPr>
        <w:pStyle w:val="8"/>
        <w:numPr>
          <w:ilvl w:val="0"/>
          <w:numId w:val="1"/>
        </w:numPr>
        <w:ind w:left="561" w:firstLine="0" w:firstLineChars="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使用年限标准是通用办公设备家具的最低使用年限。已达到规定使用年限，但尚可继续使用的通用办公设备家具，应当继续使用，以充分发挥其使用效益。</w:t>
      </w:r>
    </w:p>
    <w:p>
      <w:pPr>
        <w:pStyle w:val="8"/>
        <w:numPr>
          <w:ilvl w:val="0"/>
          <w:numId w:val="1"/>
        </w:numPr>
        <w:ind w:left="561" w:firstLine="0" w:firstLineChars="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市级行政单位购置通用办公设备家具，应当按照《中华人民共和国政府采购法》等国家有关规定执行。</w:t>
      </w:r>
    </w:p>
    <w:p>
      <w:pPr>
        <w:pStyle w:val="8"/>
        <w:numPr>
          <w:ilvl w:val="0"/>
          <w:numId w:val="1"/>
        </w:numPr>
        <w:ind w:left="561" w:firstLine="0" w:firstLineChars="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市级行政单位购置通用办公设备家具，所需经费在部门（单位）公用经费等预算中列支。</w:t>
      </w:r>
    </w:p>
    <w:p>
      <w:pPr>
        <w:ind w:left="56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新成立单位、新开展大型转项工作等特殊情况需要申请专项经费购置通用办公设备家具的，由市财政局根据本标准审核后确定。</w:t>
      </w:r>
    </w:p>
    <w:p>
      <w:pPr>
        <w:ind w:left="560"/>
        <w:jc w:val="left"/>
        <w:rPr>
          <w:rFonts w:hint="eastAsia" w:ascii="宋体" w:hAnsi="宋体" w:eastAsia="宋体" w:cs="宋体"/>
          <w:b w:val="0"/>
          <w:bCs w:val="0"/>
          <w:sz w:val="28"/>
          <w:szCs w:val="28"/>
        </w:rPr>
      </w:pPr>
      <w:r>
        <w:rPr>
          <w:rFonts w:hint="eastAsia" w:ascii="宋体" w:hAnsi="宋体" w:eastAsia="宋体" w:cs="宋体"/>
          <w:b/>
          <w:bCs/>
          <w:sz w:val="28"/>
          <w:szCs w:val="28"/>
        </w:rPr>
        <w:t xml:space="preserve">第十一条 </w:t>
      </w:r>
      <w:r>
        <w:rPr>
          <w:rFonts w:hint="eastAsia" w:ascii="宋体" w:hAnsi="宋体" w:eastAsia="宋体" w:cs="宋体"/>
          <w:b w:val="0"/>
          <w:bCs w:val="0"/>
          <w:sz w:val="28"/>
          <w:szCs w:val="28"/>
        </w:rPr>
        <w:t>市级行政单位如有特殊情况，确需超标准配置的，应按资产配置的相关程序报批。</w:t>
      </w:r>
    </w:p>
    <w:p>
      <w:pPr>
        <w:ind w:left="56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本标准实施前已经超标购置且可以继续使用的资产，可继续使用。待正常报废到标准内，方可按照本标准规定进行正常更新购置。</w:t>
      </w:r>
    </w:p>
    <w:p>
      <w:pPr>
        <w:ind w:left="210" w:leftChars="100" w:firstLine="281" w:firstLineChars="100"/>
        <w:jc w:val="left"/>
        <w:rPr>
          <w:rFonts w:hint="eastAsia" w:ascii="宋体" w:hAnsi="宋体" w:eastAsia="宋体" w:cs="宋体"/>
          <w:b w:val="0"/>
          <w:bCs w:val="0"/>
          <w:sz w:val="28"/>
          <w:szCs w:val="28"/>
        </w:rPr>
      </w:pPr>
      <w:r>
        <w:rPr>
          <w:rFonts w:hint="eastAsia" w:ascii="宋体" w:hAnsi="宋体" w:eastAsia="宋体" w:cs="宋体"/>
          <w:b/>
          <w:bCs/>
          <w:sz w:val="28"/>
          <w:szCs w:val="28"/>
        </w:rPr>
        <w:t xml:space="preserve">第十二条 </w:t>
      </w:r>
      <w:r>
        <w:rPr>
          <w:rFonts w:hint="eastAsia" w:ascii="宋体" w:hAnsi="宋体" w:eastAsia="宋体" w:cs="宋体"/>
          <w:b w:val="0"/>
          <w:bCs w:val="0"/>
          <w:sz w:val="28"/>
          <w:szCs w:val="28"/>
        </w:rPr>
        <w:t>违反本标准规定超标购置资产的，按照《财政违法行为处罚处分条例》（国务院令第427号）等国家有关规定追究法律责任。</w:t>
      </w:r>
    </w:p>
    <w:p>
      <w:pPr>
        <w:ind w:left="560"/>
        <w:jc w:val="left"/>
        <w:rPr>
          <w:rFonts w:hint="eastAsia" w:ascii="宋体" w:hAnsi="宋体" w:eastAsia="宋体" w:cs="宋体"/>
          <w:b w:val="0"/>
          <w:bCs w:val="0"/>
          <w:sz w:val="28"/>
          <w:szCs w:val="28"/>
        </w:rPr>
      </w:pPr>
      <w:r>
        <w:rPr>
          <w:rFonts w:hint="eastAsia" w:ascii="宋体" w:hAnsi="宋体" w:eastAsia="宋体" w:cs="宋体"/>
          <w:b/>
          <w:bCs/>
          <w:sz w:val="28"/>
          <w:szCs w:val="28"/>
        </w:rPr>
        <w:t>第十三条</w:t>
      </w:r>
      <w:r>
        <w:rPr>
          <w:rFonts w:hint="eastAsia" w:ascii="宋体" w:hAnsi="宋体" w:eastAsia="宋体" w:cs="宋体"/>
          <w:b w:val="0"/>
          <w:bCs w:val="0"/>
          <w:sz w:val="28"/>
          <w:szCs w:val="28"/>
        </w:rPr>
        <w:t xml:space="preserve"> 市财政局将视经济社会发展水平、市场价格变化等因素，适时更新和调整本标准。</w:t>
      </w:r>
    </w:p>
    <w:p>
      <w:pPr>
        <w:ind w:left="560"/>
        <w:jc w:val="left"/>
        <w:rPr>
          <w:rFonts w:hint="eastAsia" w:ascii="宋体" w:hAnsi="宋体" w:eastAsia="宋体" w:cs="宋体"/>
          <w:b w:val="0"/>
          <w:bCs w:val="0"/>
          <w:sz w:val="28"/>
          <w:szCs w:val="28"/>
        </w:rPr>
      </w:pPr>
      <w:r>
        <w:rPr>
          <w:rFonts w:hint="eastAsia" w:ascii="宋体" w:hAnsi="宋体" w:eastAsia="宋体" w:cs="宋体"/>
          <w:b/>
          <w:bCs/>
          <w:sz w:val="28"/>
          <w:szCs w:val="28"/>
        </w:rPr>
        <w:t>第十四条</w:t>
      </w:r>
      <w:r>
        <w:rPr>
          <w:rFonts w:hint="eastAsia" w:ascii="宋体" w:hAnsi="宋体" w:eastAsia="宋体" w:cs="宋体"/>
          <w:b w:val="0"/>
          <w:bCs w:val="0"/>
          <w:sz w:val="28"/>
          <w:szCs w:val="28"/>
        </w:rPr>
        <w:t xml:space="preserve"> 市级参照公务员法管理并执行行政单位财务和会计制度的社会团体、事业单位购置通用办公设备家具的，依照本标准执行。其他市级事业单位购置通用办公设备家具的，参照本标准执行。</w:t>
      </w:r>
    </w:p>
    <w:p>
      <w:pPr>
        <w:ind w:left="560"/>
        <w:jc w:val="left"/>
        <w:rPr>
          <w:rFonts w:hint="eastAsia" w:ascii="宋体" w:hAnsi="宋体" w:eastAsia="宋体" w:cs="宋体"/>
          <w:b w:val="0"/>
          <w:bCs w:val="0"/>
          <w:sz w:val="28"/>
          <w:szCs w:val="28"/>
        </w:rPr>
      </w:pPr>
      <w:r>
        <w:rPr>
          <w:rFonts w:hint="eastAsia" w:ascii="宋体" w:hAnsi="宋体" w:eastAsia="宋体" w:cs="宋体"/>
          <w:b/>
          <w:bCs/>
          <w:sz w:val="28"/>
          <w:szCs w:val="28"/>
        </w:rPr>
        <w:t xml:space="preserve">第十五条 </w:t>
      </w:r>
      <w:r>
        <w:rPr>
          <w:rFonts w:hint="eastAsia" w:ascii="宋体" w:hAnsi="宋体" w:eastAsia="宋体" w:cs="宋体"/>
          <w:b w:val="0"/>
          <w:bCs w:val="0"/>
          <w:sz w:val="28"/>
          <w:szCs w:val="28"/>
        </w:rPr>
        <w:t>本标准由市财政局负责解释。</w:t>
      </w:r>
    </w:p>
    <w:p>
      <w:pPr>
        <w:ind w:left="560"/>
        <w:jc w:val="left"/>
        <w:rPr>
          <w:rFonts w:hint="eastAsia" w:ascii="宋体" w:hAnsi="宋体" w:eastAsia="宋体" w:cs="宋体"/>
          <w:b w:val="0"/>
          <w:bCs w:val="0"/>
          <w:sz w:val="28"/>
          <w:szCs w:val="28"/>
        </w:rPr>
      </w:pPr>
      <w:r>
        <w:rPr>
          <w:rFonts w:hint="eastAsia" w:ascii="宋体" w:hAnsi="宋体" w:eastAsia="宋体" w:cs="宋体"/>
          <w:b/>
          <w:bCs/>
          <w:sz w:val="28"/>
          <w:szCs w:val="28"/>
        </w:rPr>
        <w:t xml:space="preserve">第十六条 </w:t>
      </w:r>
      <w:r>
        <w:rPr>
          <w:rFonts w:hint="eastAsia" w:ascii="宋体" w:hAnsi="宋体" w:eastAsia="宋体" w:cs="宋体"/>
          <w:b w:val="0"/>
          <w:bCs w:val="0"/>
          <w:sz w:val="28"/>
          <w:szCs w:val="28"/>
        </w:rPr>
        <w:t>本标准自印发之日起施行。</w:t>
      </w:r>
    </w:p>
    <w:p>
      <w:pPr>
        <w:ind w:left="560"/>
        <w:jc w:val="left"/>
        <w:rPr>
          <w:rFonts w:hint="eastAsia" w:ascii="宋体" w:hAnsi="宋体" w:eastAsia="宋体" w:cs="宋体"/>
          <w:b w:val="0"/>
          <w:bCs w:val="0"/>
          <w:sz w:val="28"/>
          <w:szCs w:val="28"/>
        </w:rPr>
      </w:pPr>
      <w:bookmarkStart w:id="0" w:name="_GoBack"/>
      <w:bookmarkEnd w:id="0"/>
    </w:p>
    <w:p>
      <w:pPr>
        <w:ind w:left="56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附件：1、通用办公设备配置标准；</w:t>
      </w:r>
    </w:p>
    <w:p>
      <w:pPr>
        <w:ind w:left="560"/>
        <w:jc w:val="left"/>
        <w:rPr>
          <w:rFonts w:hint="eastAsia" w:ascii="宋体" w:hAnsi="宋体" w:eastAsia="宋体" w:cs="宋体"/>
          <w:b w:val="0"/>
          <w:bCs w:val="0"/>
          <w:sz w:val="28"/>
          <w:szCs w:val="28"/>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val="0"/>
          <w:bCs w:val="0"/>
          <w:sz w:val="28"/>
          <w:szCs w:val="28"/>
        </w:rPr>
        <w:t xml:space="preserve">      2、办公家具配置标准。</w:t>
      </w:r>
    </w:p>
    <w:p>
      <w:pPr>
        <w:jc w:val="left"/>
        <w:rPr>
          <w:rFonts w:hint="eastAsia" w:ascii="仿宋_GB2312" w:hAnsi="仿宋_GB2312" w:eastAsia="仿宋_GB2312" w:cs="仿宋_GB2312"/>
          <w:b/>
          <w:szCs w:val="21"/>
        </w:rPr>
      </w:pPr>
      <w:r>
        <w:rPr>
          <w:rFonts w:hint="eastAsia" w:ascii="仿宋_GB2312" w:hAnsi="仿宋_GB2312" w:eastAsia="仿宋_GB2312" w:cs="仿宋_GB2312"/>
          <w:b/>
          <w:szCs w:val="21"/>
        </w:rPr>
        <w:t>附录1：</w:t>
      </w:r>
    </w:p>
    <w:p>
      <w:pPr>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通用办公设备配置标准</w:t>
      </w:r>
    </w:p>
    <w:tbl>
      <w:tblPr>
        <w:tblStyle w:val="5"/>
        <w:tblW w:w="7962" w:type="dxa"/>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528"/>
        <w:gridCol w:w="3093"/>
        <w:gridCol w:w="2126"/>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gridSpan w:val="2"/>
          </w:tcPr>
          <w:p>
            <w:pPr>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设备名称</w:t>
            </w:r>
          </w:p>
        </w:tc>
        <w:tc>
          <w:tcPr>
            <w:tcW w:w="3093" w:type="dxa"/>
          </w:tcPr>
          <w:p>
            <w:pPr>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实物量标准</w:t>
            </w:r>
          </w:p>
        </w:tc>
        <w:tc>
          <w:tcPr>
            <w:tcW w:w="2126" w:type="dxa"/>
          </w:tcPr>
          <w:p>
            <w:pPr>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价格上限标准（元/台）</w:t>
            </w:r>
          </w:p>
        </w:tc>
        <w:tc>
          <w:tcPr>
            <w:tcW w:w="759" w:type="dxa"/>
          </w:tcPr>
          <w:p>
            <w:pPr>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使用年限标准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restart"/>
          </w:tcPr>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脑</w:t>
            </w:r>
          </w:p>
        </w:tc>
        <w:tc>
          <w:tcPr>
            <w:tcW w:w="1528" w:type="dxa"/>
          </w:tcPr>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台式电脑</w:t>
            </w:r>
          </w:p>
        </w:tc>
        <w:tc>
          <w:tcPr>
            <w:tcW w:w="3093" w:type="dxa"/>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1台/人（涉密、外网电脑经批准另行配备），总数不超过单位编制内实有人数的150%</w:t>
            </w:r>
          </w:p>
        </w:tc>
        <w:tc>
          <w:tcPr>
            <w:tcW w:w="2126"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6000</w:t>
            </w:r>
          </w:p>
        </w:tc>
        <w:tc>
          <w:tcPr>
            <w:tcW w:w="759"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tcPr>
          <w:p>
            <w:pPr>
              <w:jc w:val="left"/>
              <w:rPr>
                <w:rFonts w:hint="eastAsia" w:ascii="仿宋_GB2312" w:hAnsi="仿宋_GB2312" w:eastAsia="仿宋_GB2312" w:cs="仿宋_GB2312"/>
                <w:sz w:val="24"/>
                <w:szCs w:val="36"/>
              </w:rPr>
            </w:pPr>
          </w:p>
        </w:tc>
        <w:tc>
          <w:tcPr>
            <w:tcW w:w="1528" w:type="dxa"/>
          </w:tcPr>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24"/>
              </w:rPr>
              <w:t>笔记本电脑</w:t>
            </w:r>
          </w:p>
        </w:tc>
        <w:tc>
          <w:tcPr>
            <w:tcW w:w="3093" w:type="dxa"/>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总数不超过单位编制内实有人数的50%；外勤单位可增加笔记本电脑数量，同时减少相应数量台式电脑</w:t>
            </w:r>
          </w:p>
        </w:tc>
        <w:tc>
          <w:tcPr>
            <w:tcW w:w="2126"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10000</w:t>
            </w:r>
          </w:p>
        </w:tc>
        <w:tc>
          <w:tcPr>
            <w:tcW w:w="759"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restart"/>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打印机</w:t>
            </w:r>
          </w:p>
        </w:tc>
        <w:tc>
          <w:tcPr>
            <w:tcW w:w="1528" w:type="dxa"/>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激光打印机</w:t>
            </w:r>
          </w:p>
        </w:tc>
        <w:tc>
          <w:tcPr>
            <w:tcW w:w="3093" w:type="dxa"/>
            <w:vMerge w:val="restart"/>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按需要配备，打印机总数不超过单位编制内实有人数的50%</w:t>
            </w:r>
          </w:p>
        </w:tc>
        <w:tc>
          <w:tcPr>
            <w:tcW w:w="2126"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5000</w:t>
            </w:r>
          </w:p>
        </w:tc>
        <w:tc>
          <w:tcPr>
            <w:tcW w:w="759"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tcPr>
          <w:p>
            <w:pPr>
              <w:jc w:val="left"/>
              <w:rPr>
                <w:rFonts w:hint="eastAsia" w:ascii="仿宋_GB2312" w:hAnsi="仿宋_GB2312" w:eastAsia="仿宋_GB2312" w:cs="仿宋_GB2312"/>
                <w:sz w:val="24"/>
                <w:szCs w:val="36"/>
              </w:rPr>
            </w:pPr>
          </w:p>
        </w:tc>
        <w:tc>
          <w:tcPr>
            <w:tcW w:w="1528" w:type="dxa"/>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喷墨打印机</w:t>
            </w:r>
          </w:p>
        </w:tc>
        <w:tc>
          <w:tcPr>
            <w:tcW w:w="3093" w:type="dxa"/>
            <w:vMerge w:val="continue"/>
          </w:tcPr>
          <w:p>
            <w:pPr>
              <w:jc w:val="left"/>
              <w:rPr>
                <w:rFonts w:hint="eastAsia" w:ascii="仿宋_GB2312" w:hAnsi="仿宋_GB2312" w:eastAsia="仿宋_GB2312" w:cs="仿宋_GB2312"/>
                <w:sz w:val="24"/>
                <w:szCs w:val="36"/>
              </w:rPr>
            </w:pPr>
          </w:p>
        </w:tc>
        <w:tc>
          <w:tcPr>
            <w:tcW w:w="2126"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2500</w:t>
            </w:r>
          </w:p>
        </w:tc>
        <w:tc>
          <w:tcPr>
            <w:tcW w:w="759"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tcPr>
          <w:p>
            <w:pPr>
              <w:jc w:val="left"/>
              <w:rPr>
                <w:rFonts w:hint="eastAsia" w:ascii="仿宋_GB2312" w:hAnsi="仿宋_GB2312" w:eastAsia="仿宋_GB2312" w:cs="仿宋_GB2312"/>
                <w:sz w:val="24"/>
                <w:szCs w:val="36"/>
              </w:rPr>
            </w:pPr>
          </w:p>
        </w:tc>
        <w:tc>
          <w:tcPr>
            <w:tcW w:w="1528" w:type="dxa"/>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针式打印机</w:t>
            </w:r>
          </w:p>
        </w:tc>
        <w:tc>
          <w:tcPr>
            <w:tcW w:w="3093" w:type="dxa"/>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按需要配备</w:t>
            </w:r>
          </w:p>
        </w:tc>
        <w:tc>
          <w:tcPr>
            <w:tcW w:w="2126"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3000</w:t>
            </w:r>
          </w:p>
        </w:tc>
        <w:tc>
          <w:tcPr>
            <w:tcW w:w="759"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gridSpan w:val="2"/>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复印机</w:t>
            </w:r>
          </w:p>
        </w:tc>
        <w:tc>
          <w:tcPr>
            <w:tcW w:w="3093" w:type="dxa"/>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1台/处</w:t>
            </w:r>
          </w:p>
        </w:tc>
        <w:tc>
          <w:tcPr>
            <w:tcW w:w="2126"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25000</w:t>
            </w:r>
          </w:p>
        </w:tc>
        <w:tc>
          <w:tcPr>
            <w:tcW w:w="759"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gridSpan w:val="2"/>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普通扫描仪</w:t>
            </w:r>
          </w:p>
        </w:tc>
        <w:tc>
          <w:tcPr>
            <w:tcW w:w="3093" w:type="dxa"/>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按需要配备，1个处室不超过1台</w:t>
            </w:r>
          </w:p>
        </w:tc>
        <w:tc>
          <w:tcPr>
            <w:tcW w:w="2126"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2000</w:t>
            </w:r>
          </w:p>
        </w:tc>
        <w:tc>
          <w:tcPr>
            <w:tcW w:w="759"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gridSpan w:val="2"/>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传真机</w:t>
            </w:r>
          </w:p>
        </w:tc>
        <w:tc>
          <w:tcPr>
            <w:tcW w:w="3093" w:type="dxa"/>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1台/处，总数不超过单位编制内实有人数的20%</w:t>
            </w:r>
          </w:p>
        </w:tc>
        <w:tc>
          <w:tcPr>
            <w:tcW w:w="2126"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2500</w:t>
            </w:r>
          </w:p>
        </w:tc>
        <w:tc>
          <w:tcPr>
            <w:tcW w:w="759"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gridSpan w:val="2"/>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碎纸机</w:t>
            </w:r>
          </w:p>
        </w:tc>
        <w:tc>
          <w:tcPr>
            <w:tcW w:w="3093" w:type="dxa"/>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1台/处</w:t>
            </w:r>
          </w:p>
        </w:tc>
        <w:tc>
          <w:tcPr>
            <w:tcW w:w="2126"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2000</w:t>
            </w:r>
          </w:p>
        </w:tc>
        <w:tc>
          <w:tcPr>
            <w:tcW w:w="759"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gridSpan w:val="2"/>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投影仪</w:t>
            </w:r>
          </w:p>
        </w:tc>
        <w:tc>
          <w:tcPr>
            <w:tcW w:w="3093" w:type="dxa"/>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按需要配备，不超过单位编制内实有人数的3%</w:t>
            </w:r>
          </w:p>
        </w:tc>
        <w:tc>
          <w:tcPr>
            <w:tcW w:w="2126"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10000</w:t>
            </w:r>
          </w:p>
        </w:tc>
        <w:tc>
          <w:tcPr>
            <w:tcW w:w="759"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restart"/>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照相机</w:t>
            </w:r>
          </w:p>
        </w:tc>
        <w:tc>
          <w:tcPr>
            <w:tcW w:w="1528" w:type="dxa"/>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高档数码相机</w:t>
            </w:r>
          </w:p>
        </w:tc>
        <w:tc>
          <w:tcPr>
            <w:tcW w:w="3093" w:type="dxa"/>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按需要配备，1个单位不超过1台</w:t>
            </w:r>
          </w:p>
        </w:tc>
        <w:tc>
          <w:tcPr>
            <w:tcW w:w="2126"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25000</w:t>
            </w:r>
          </w:p>
        </w:tc>
        <w:tc>
          <w:tcPr>
            <w:tcW w:w="759"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tcPr>
          <w:p>
            <w:pPr>
              <w:jc w:val="left"/>
              <w:rPr>
                <w:rFonts w:hint="eastAsia" w:ascii="仿宋_GB2312" w:hAnsi="仿宋_GB2312" w:eastAsia="仿宋_GB2312" w:cs="仿宋_GB2312"/>
                <w:sz w:val="24"/>
                <w:szCs w:val="36"/>
              </w:rPr>
            </w:pPr>
          </w:p>
        </w:tc>
        <w:tc>
          <w:tcPr>
            <w:tcW w:w="1528" w:type="dxa"/>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数码相机</w:t>
            </w:r>
          </w:p>
        </w:tc>
        <w:tc>
          <w:tcPr>
            <w:tcW w:w="3093" w:type="dxa"/>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按需要配备，不超过单位编制内实有人数的10%</w:t>
            </w:r>
          </w:p>
        </w:tc>
        <w:tc>
          <w:tcPr>
            <w:tcW w:w="2126"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4000</w:t>
            </w:r>
          </w:p>
        </w:tc>
        <w:tc>
          <w:tcPr>
            <w:tcW w:w="759"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gridSpan w:val="2"/>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数码摄录机</w:t>
            </w:r>
          </w:p>
        </w:tc>
        <w:tc>
          <w:tcPr>
            <w:tcW w:w="3093" w:type="dxa"/>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按需要配备，1个单位不超过1台</w:t>
            </w:r>
          </w:p>
        </w:tc>
        <w:tc>
          <w:tcPr>
            <w:tcW w:w="2126"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8000</w:t>
            </w:r>
          </w:p>
        </w:tc>
        <w:tc>
          <w:tcPr>
            <w:tcW w:w="759"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gridSpan w:val="2"/>
            <w:vMerge w:val="restart"/>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空调</w:t>
            </w:r>
          </w:p>
        </w:tc>
        <w:tc>
          <w:tcPr>
            <w:tcW w:w="3093" w:type="dxa"/>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使用面积15平方米以下房间，可配备1匹机</w:t>
            </w:r>
          </w:p>
        </w:tc>
        <w:tc>
          <w:tcPr>
            <w:tcW w:w="2126"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3000</w:t>
            </w:r>
          </w:p>
        </w:tc>
        <w:tc>
          <w:tcPr>
            <w:tcW w:w="759"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gridSpan w:val="2"/>
            <w:vMerge w:val="continue"/>
          </w:tcPr>
          <w:p>
            <w:pPr>
              <w:jc w:val="left"/>
              <w:rPr>
                <w:rFonts w:hint="eastAsia" w:ascii="仿宋_GB2312" w:hAnsi="仿宋_GB2312" w:eastAsia="仿宋_GB2312" w:cs="仿宋_GB2312"/>
                <w:sz w:val="24"/>
                <w:szCs w:val="36"/>
              </w:rPr>
            </w:pPr>
          </w:p>
        </w:tc>
        <w:tc>
          <w:tcPr>
            <w:tcW w:w="3093" w:type="dxa"/>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使用面积15（含）至25平方米房间，可配备1.5匹机</w:t>
            </w:r>
          </w:p>
        </w:tc>
        <w:tc>
          <w:tcPr>
            <w:tcW w:w="2126"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4000</w:t>
            </w:r>
          </w:p>
        </w:tc>
        <w:tc>
          <w:tcPr>
            <w:tcW w:w="759"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gridSpan w:val="2"/>
            <w:vMerge w:val="continue"/>
          </w:tcPr>
          <w:p>
            <w:pPr>
              <w:jc w:val="left"/>
              <w:rPr>
                <w:rFonts w:hint="eastAsia" w:ascii="仿宋_GB2312" w:hAnsi="仿宋_GB2312" w:eastAsia="仿宋_GB2312" w:cs="仿宋_GB2312"/>
                <w:sz w:val="24"/>
                <w:szCs w:val="36"/>
              </w:rPr>
            </w:pPr>
          </w:p>
        </w:tc>
        <w:tc>
          <w:tcPr>
            <w:tcW w:w="3093" w:type="dxa"/>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使用面积25（含）至30平方米房间，可配备2匹机</w:t>
            </w:r>
          </w:p>
        </w:tc>
        <w:tc>
          <w:tcPr>
            <w:tcW w:w="2126"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6000</w:t>
            </w:r>
          </w:p>
        </w:tc>
        <w:tc>
          <w:tcPr>
            <w:tcW w:w="759"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gridSpan w:val="2"/>
            <w:vMerge w:val="continue"/>
          </w:tcPr>
          <w:p>
            <w:pPr>
              <w:jc w:val="left"/>
              <w:rPr>
                <w:rFonts w:hint="eastAsia" w:ascii="仿宋_GB2312" w:hAnsi="仿宋_GB2312" w:eastAsia="仿宋_GB2312" w:cs="仿宋_GB2312"/>
                <w:sz w:val="24"/>
                <w:szCs w:val="36"/>
              </w:rPr>
            </w:pPr>
          </w:p>
        </w:tc>
        <w:tc>
          <w:tcPr>
            <w:tcW w:w="3093" w:type="dxa"/>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使用面积30（含）至40平方米房间，可配备3匹机</w:t>
            </w:r>
          </w:p>
        </w:tc>
        <w:tc>
          <w:tcPr>
            <w:tcW w:w="2126"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7500</w:t>
            </w:r>
          </w:p>
        </w:tc>
        <w:tc>
          <w:tcPr>
            <w:tcW w:w="759"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984" w:type="dxa"/>
            <w:gridSpan w:val="2"/>
            <w:vMerge w:val="continue"/>
          </w:tcPr>
          <w:p>
            <w:pPr>
              <w:jc w:val="left"/>
              <w:rPr>
                <w:rFonts w:hint="eastAsia" w:ascii="仿宋_GB2312" w:hAnsi="仿宋_GB2312" w:eastAsia="仿宋_GB2312" w:cs="仿宋_GB2312"/>
                <w:sz w:val="24"/>
                <w:szCs w:val="36"/>
              </w:rPr>
            </w:pPr>
          </w:p>
        </w:tc>
        <w:tc>
          <w:tcPr>
            <w:tcW w:w="3093" w:type="dxa"/>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使用面积40（含）至80平方米房间，可配备5匹机</w:t>
            </w:r>
          </w:p>
        </w:tc>
        <w:tc>
          <w:tcPr>
            <w:tcW w:w="2126"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12000</w:t>
            </w:r>
          </w:p>
        </w:tc>
        <w:tc>
          <w:tcPr>
            <w:tcW w:w="759"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984" w:type="dxa"/>
            <w:gridSpan w:val="2"/>
            <w:vMerge w:val="continue"/>
          </w:tcPr>
          <w:p>
            <w:pPr>
              <w:jc w:val="left"/>
              <w:rPr>
                <w:rFonts w:hint="eastAsia" w:ascii="仿宋_GB2312" w:hAnsi="仿宋_GB2312" w:eastAsia="仿宋_GB2312" w:cs="仿宋_GB2312"/>
                <w:sz w:val="24"/>
                <w:szCs w:val="36"/>
              </w:rPr>
            </w:pPr>
          </w:p>
        </w:tc>
        <w:tc>
          <w:tcPr>
            <w:tcW w:w="3093" w:type="dxa"/>
          </w:tcPr>
          <w:p>
            <w:pPr>
              <w:jc w:val="left"/>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使用面积超过80平方米房间，按实际情况综合考虑</w:t>
            </w:r>
          </w:p>
        </w:tc>
        <w:tc>
          <w:tcPr>
            <w:tcW w:w="2126"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按政府采购价格确定</w:t>
            </w:r>
          </w:p>
        </w:tc>
        <w:tc>
          <w:tcPr>
            <w:tcW w:w="759" w:type="dxa"/>
          </w:tcPr>
          <w:p>
            <w:pPr>
              <w:jc w:val="center"/>
              <w:rPr>
                <w:rFonts w:hint="eastAsia" w:ascii="仿宋_GB2312" w:hAnsi="仿宋_GB2312" w:eastAsia="仿宋_GB2312" w:cs="仿宋_GB2312"/>
                <w:sz w:val="24"/>
                <w:szCs w:val="36"/>
              </w:rPr>
            </w:pPr>
            <w:r>
              <w:rPr>
                <w:rFonts w:hint="eastAsia" w:ascii="仿宋_GB2312" w:hAnsi="仿宋_GB2312" w:eastAsia="仿宋_GB2312" w:cs="仿宋_GB2312"/>
                <w:sz w:val="24"/>
                <w:szCs w:val="36"/>
              </w:rPr>
              <w:t>8年</w:t>
            </w:r>
          </w:p>
        </w:tc>
      </w:tr>
    </w:tbl>
    <w:p>
      <w:pPr>
        <w:ind w:left="560"/>
        <w:jc w:val="left"/>
        <w:rPr>
          <w:rFonts w:hint="eastAsia" w:ascii="仿宋_GB2312" w:hAnsi="仿宋_GB2312" w:eastAsia="仿宋_GB2312" w:cs="仿宋_GB2312"/>
          <w:b w:val="0"/>
          <w:bCs/>
          <w:szCs w:val="21"/>
          <w:lang w:val="en-US" w:eastAsia="zh-CN"/>
        </w:rPr>
      </w:pPr>
      <w:r>
        <w:rPr>
          <w:rFonts w:hint="eastAsia" w:ascii="仿宋_GB2312" w:hAnsi="仿宋_GB2312" w:eastAsia="仿宋_GB2312" w:cs="仿宋_GB2312"/>
          <w:b w:val="0"/>
          <w:bCs/>
          <w:szCs w:val="21"/>
          <w:lang w:eastAsia="zh-CN"/>
        </w:rPr>
        <w:t>注：</w:t>
      </w:r>
      <w:r>
        <w:rPr>
          <w:rFonts w:hint="eastAsia" w:ascii="仿宋_GB2312" w:hAnsi="仿宋_GB2312" w:eastAsia="仿宋_GB2312" w:cs="仿宋_GB2312"/>
          <w:b w:val="0"/>
          <w:bCs/>
          <w:szCs w:val="21"/>
          <w:lang w:val="en-US" w:eastAsia="zh-CN"/>
        </w:rPr>
        <w:t>1、本表中所列通用办公设备不含特殊需要的专业类设备</w:t>
      </w:r>
    </w:p>
    <w:p>
      <w:pPr>
        <w:ind w:left="560"/>
        <w:jc w:val="left"/>
        <w:rPr>
          <w:rFonts w:hint="eastAsia" w:ascii="仿宋_GB2312" w:hAnsi="仿宋_GB2312" w:eastAsia="仿宋_GB2312" w:cs="仿宋_GB2312"/>
          <w:b w:val="0"/>
          <w:bCs/>
          <w:szCs w:val="21"/>
          <w:lang w:val="en-US" w:eastAsia="zh-CN"/>
        </w:rPr>
      </w:pPr>
      <w:r>
        <w:rPr>
          <w:rFonts w:hint="eastAsia" w:ascii="仿宋_GB2312" w:hAnsi="仿宋_GB2312" w:eastAsia="仿宋_GB2312" w:cs="仿宋_GB2312"/>
          <w:b w:val="0"/>
          <w:bCs/>
          <w:szCs w:val="21"/>
          <w:lang w:val="en-US" w:eastAsia="zh-CN"/>
        </w:rPr>
        <w:t xml:space="preserve">    2、已安装中央空调的原则上不得配备分体空调</w:t>
      </w:r>
    </w:p>
    <w:p>
      <w:pPr>
        <w:ind w:left="560"/>
        <w:jc w:val="left"/>
        <w:rPr>
          <w:rFonts w:hint="eastAsia" w:ascii="仿宋_GB2312" w:hAnsi="仿宋_GB2312" w:eastAsia="仿宋_GB2312" w:cs="仿宋_GB2312"/>
          <w:b/>
          <w:szCs w:val="21"/>
        </w:rPr>
      </w:pPr>
    </w:p>
    <w:p>
      <w:pPr>
        <w:ind w:left="560"/>
        <w:jc w:val="left"/>
        <w:rPr>
          <w:rFonts w:hint="eastAsia" w:ascii="仿宋_GB2312" w:hAnsi="仿宋_GB2312" w:eastAsia="仿宋_GB2312" w:cs="仿宋_GB2312"/>
          <w:b/>
          <w:szCs w:val="21"/>
        </w:rPr>
      </w:pPr>
      <w:r>
        <w:rPr>
          <w:rFonts w:hint="eastAsia" w:ascii="仿宋_GB2312" w:hAnsi="仿宋_GB2312" w:eastAsia="仿宋_GB2312" w:cs="仿宋_GB2312"/>
          <w:b/>
          <w:szCs w:val="21"/>
        </w:rPr>
        <w:t>附录2：</w:t>
      </w:r>
    </w:p>
    <w:p>
      <w:pPr>
        <w:ind w:left="560"/>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办公家具配置标准</w:t>
      </w:r>
    </w:p>
    <w:tbl>
      <w:tblPr>
        <w:tblStyle w:val="5"/>
        <w:tblW w:w="7962" w:type="dxa"/>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302"/>
        <w:gridCol w:w="1985"/>
        <w:gridCol w:w="2007"/>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gridSpan w:val="2"/>
          </w:tcPr>
          <w:p>
            <w:pPr>
              <w:ind w:firstLine="482" w:firstLineChars="200"/>
              <w:jc w:val="left"/>
              <w:rPr>
                <w:rFonts w:hint="eastAsia" w:ascii="仿宋_GB2312" w:hAnsi="仿宋_GB2312" w:eastAsia="仿宋_GB2312" w:cs="仿宋_GB2312"/>
                <w:b/>
                <w:sz w:val="24"/>
                <w:szCs w:val="21"/>
              </w:rPr>
            </w:pPr>
            <w:r>
              <w:rPr>
                <w:rFonts w:hint="eastAsia" w:ascii="仿宋_GB2312" w:hAnsi="仿宋_GB2312" w:eastAsia="仿宋_GB2312" w:cs="仿宋_GB2312"/>
                <w:b/>
                <w:sz w:val="24"/>
                <w:szCs w:val="21"/>
              </w:rPr>
              <w:t>家具名称</w:t>
            </w:r>
          </w:p>
        </w:tc>
        <w:tc>
          <w:tcPr>
            <w:tcW w:w="1985" w:type="dxa"/>
          </w:tcPr>
          <w:p>
            <w:pPr>
              <w:jc w:val="left"/>
              <w:rPr>
                <w:rFonts w:hint="eastAsia" w:ascii="仿宋_GB2312" w:hAnsi="仿宋_GB2312" w:eastAsia="仿宋_GB2312" w:cs="仿宋_GB2312"/>
                <w:b/>
                <w:sz w:val="24"/>
                <w:szCs w:val="21"/>
              </w:rPr>
            </w:pPr>
            <w:r>
              <w:rPr>
                <w:rFonts w:hint="eastAsia" w:ascii="仿宋_GB2312" w:hAnsi="仿宋_GB2312" w:eastAsia="仿宋_GB2312" w:cs="仿宋_GB2312"/>
                <w:b/>
                <w:sz w:val="24"/>
                <w:szCs w:val="21"/>
              </w:rPr>
              <w:t>实物量标准</w:t>
            </w:r>
          </w:p>
        </w:tc>
        <w:tc>
          <w:tcPr>
            <w:tcW w:w="2007" w:type="dxa"/>
          </w:tcPr>
          <w:p>
            <w:pPr>
              <w:jc w:val="left"/>
              <w:rPr>
                <w:rFonts w:hint="eastAsia" w:ascii="仿宋_GB2312" w:hAnsi="仿宋_GB2312" w:eastAsia="仿宋_GB2312" w:cs="仿宋_GB2312"/>
                <w:b/>
                <w:sz w:val="24"/>
                <w:szCs w:val="21"/>
              </w:rPr>
            </w:pPr>
            <w:r>
              <w:rPr>
                <w:rFonts w:hint="eastAsia" w:ascii="仿宋_GB2312" w:hAnsi="仿宋_GB2312" w:eastAsia="仿宋_GB2312" w:cs="仿宋_GB2312"/>
                <w:b/>
                <w:sz w:val="24"/>
                <w:szCs w:val="21"/>
              </w:rPr>
              <w:t>价格上限标准（元/台、套、件）</w:t>
            </w:r>
          </w:p>
        </w:tc>
        <w:tc>
          <w:tcPr>
            <w:tcW w:w="1986" w:type="dxa"/>
          </w:tcPr>
          <w:p>
            <w:pPr>
              <w:jc w:val="left"/>
              <w:rPr>
                <w:rFonts w:hint="eastAsia" w:ascii="仿宋_GB2312" w:hAnsi="仿宋_GB2312" w:eastAsia="仿宋_GB2312" w:cs="仿宋_GB2312"/>
                <w:b/>
                <w:sz w:val="24"/>
                <w:szCs w:val="21"/>
              </w:rPr>
            </w:pPr>
            <w:r>
              <w:rPr>
                <w:rFonts w:hint="eastAsia" w:ascii="仿宋_GB2312" w:hAnsi="仿宋_GB2312" w:eastAsia="仿宋_GB2312" w:cs="仿宋_GB2312"/>
                <w:b/>
                <w:sz w:val="24"/>
                <w:szCs w:val="21"/>
              </w:rPr>
              <w:t>使用年限标准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Merge w:val="restart"/>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办公室家具</w:t>
            </w:r>
          </w:p>
        </w:tc>
        <w:tc>
          <w:tcPr>
            <w:tcW w:w="1302"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局级领导</w:t>
            </w:r>
          </w:p>
        </w:tc>
        <w:tc>
          <w:tcPr>
            <w:tcW w:w="1985"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办公桌椅1套，桌前椅2张；文件柜1套，书柜1套；沙发茶几1套，及其他各项</w:t>
            </w:r>
          </w:p>
        </w:tc>
        <w:tc>
          <w:tcPr>
            <w:tcW w:w="2007"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18000</w:t>
            </w:r>
          </w:p>
        </w:tc>
        <w:tc>
          <w:tcPr>
            <w:tcW w:w="1986"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长期使用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Merge w:val="continue"/>
          </w:tcPr>
          <w:p>
            <w:pPr>
              <w:jc w:val="left"/>
              <w:rPr>
                <w:rFonts w:hint="eastAsia" w:ascii="仿宋_GB2312" w:hAnsi="仿宋_GB2312" w:eastAsia="仿宋_GB2312" w:cs="仿宋_GB2312"/>
                <w:sz w:val="24"/>
                <w:szCs w:val="21"/>
              </w:rPr>
            </w:pPr>
          </w:p>
        </w:tc>
        <w:tc>
          <w:tcPr>
            <w:tcW w:w="1302"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处级领导</w:t>
            </w:r>
          </w:p>
        </w:tc>
        <w:tc>
          <w:tcPr>
            <w:tcW w:w="1985"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办公桌椅一套，桌前椅两张；文件柜1套，书柜1套；沙发茶几1套，及其他各项</w:t>
            </w:r>
          </w:p>
        </w:tc>
        <w:tc>
          <w:tcPr>
            <w:tcW w:w="2007"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12000</w:t>
            </w:r>
          </w:p>
        </w:tc>
        <w:tc>
          <w:tcPr>
            <w:tcW w:w="1986"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长期使用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Merge w:val="continue"/>
          </w:tcPr>
          <w:p>
            <w:pPr>
              <w:jc w:val="left"/>
              <w:rPr>
                <w:rFonts w:hint="eastAsia" w:ascii="仿宋_GB2312" w:hAnsi="仿宋_GB2312" w:eastAsia="仿宋_GB2312" w:cs="仿宋_GB2312"/>
                <w:sz w:val="24"/>
                <w:szCs w:val="21"/>
              </w:rPr>
            </w:pPr>
          </w:p>
        </w:tc>
        <w:tc>
          <w:tcPr>
            <w:tcW w:w="1302"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科级(含以下干部)</w:t>
            </w:r>
          </w:p>
        </w:tc>
        <w:tc>
          <w:tcPr>
            <w:tcW w:w="1985"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办公桌椅每人一套；文件柜每人一套，书柜每人一套；及其他各项</w:t>
            </w:r>
          </w:p>
        </w:tc>
        <w:tc>
          <w:tcPr>
            <w:tcW w:w="2007"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6000</w:t>
            </w:r>
          </w:p>
        </w:tc>
        <w:tc>
          <w:tcPr>
            <w:tcW w:w="1986"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长期使用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gridSpan w:val="2"/>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折叠椅</w:t>
            </w:r>
          </w:p>
        </w:tc>
        <w:tc>
          <w:tcPr>
            <w:tcW w:w="1985"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按需要配备</w:t>
            </w:r>
          </w:p>
        </w:tc>
        <w:tc>
          <w:tcPr>
            <w:tcW w:w="2007"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120</w:t>
            </w:r>
          </w:p>
        </w:tc>
        <w:tc>
          <w:tcPr>
            <w:tcW w:w="1986"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长期使用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gridSpan w:val="2"/>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保密柜</w:t>
            </w:r>
          </w:p>
        </w:tc>
        <w:tc>
          <w:tcPr>
            <w:tcW w:w="1985"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按需要配备</w:t>
            </w:r>
          </w:p>
        </w:tc>
        <w:tc>
          <w:tcPr>
            <w:tcW w:w="2007"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3000</w:t>
            </w:r>
          </w:p>
        </w:tc>
        <w:tc>
          <w:tcPr>
            <w:tcW w:w="1986"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长期使用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gridSpan w:val="2"/>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更衣柜</w:t>
            </w:r>
          </w:p>
        </w:tc>
        <w:tc>
          <w:tcPr>
            <w:tcW w:w="1985"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按需要配备</w:t>
            </w:r>
          </w:p>
        </w:tc>
        <w:tc>
          <w:tcPr>
            <w:tcW w:w="2007"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1000</w:t>
            </w:r>
          </w:p>
        </w:tc>
        <w:tc>
          <w:tcPr>
            <w:tcW w:w="1986"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长期使用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gridSpan w:val="2"/>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茶水柜</w:t>
            </w:r>
          </w:p>
        </w:tc>
        <w:tc>
          <w:tcPr>
            <w:tcW w:w="1985"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按需要配备</w:t>
            </w:r>
          </w:p>
        </w:tc>
        <w:tc>
          <w:tcPr>
            <w:tcW w:w="2007"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1000</w:t>
            </w:r>
          </w:p>
        </w:tc>
        <w:tc>
          <w:tcPr>
            <w:tcW w:w="1986"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长期使用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gridSpan w:val="2"/>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会议室家具</w:t>
            </w:r>
          </w:p>
        </w:tc>
        <w:tc>
          <w:tcPr>
            <w:tcW w:w="1985"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每间按使用面积配备</w:t>
            </w:r>
          </w:p>
        </w:tc>
        <w:tc>
          <w:tcPr>
            <w:tcW w:w="2007"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800元/平方米</w:t>
            </w:r>
          </w:p>
        </w:tc>
        <w:tc>
          <w:tcPr>
            <w:tcW w:w="1986" w:type="dxa"/>
          </w:tcPr>
          <w:p>
            <w:pPr>
              <w:jc w:val="lef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长期使用</w:t>
            </w:r>
          </w:p>
        </w:tc>
      </w:tr>
    </w:tbl>
    <w:p>
      <w:pPr>
        <w:ind w:left="560"/>
        <w:jc w:val="left"/>
        <w:rPr>
          <w:rFonts w:hint="eastAsia" w:ascii="仿宋_GB2312" w:hAnsi="仿宋_GB2312" w:eastAsia="仿宋_GB2312" w:cs="仿宋_GB2312"/>
          <w:sz w:val="24"/>
          <w:szCs w:val="21"/>
        </w:rPr>
      </w:pPr>
    </w:p>
    <w:p>
      <w:pPr>
        <w:ind w:left="560"/>
        <w:jc w:val="left"/>
        <w:rPr>
          <w:rFonts w:hint="eastAsia" w:ascii="仿宋_GB2312" w:hAnsi="仿宋_GB2312" w:eastAsia="仿宋_GB2312" w:cs="仿宋_GB2312"/>
          <w:sz w:val="24"/>
          <w:szCs w:val="36"/>
          <w:lang w:eastAsia="zh-CN"/>
        </w:rPr>
      </w:pPr>
      <w:r>
        <w:rPr>
          <w:rFonts w:hint="eastAsia" w:ascii="仿宋_GB2312" w:hAnsi="仿宋_GB2312" w:eastAsia="仿宋_GB2312" w:cs="仿宋_GB2312"/>
          <w:sz w:val="24"/>
          <w:szCs w:val="36"/>
          <w:lang w:eastAsia="zh-CN"/>
        </w:rPr>
        <w:t>注：本表中所列“长期使用”是指使用年限为</w:t>
      </w:r>
      <w:r>
        <w:rPr>
          <w:rFonts w:hint="eastAsia" w:ascii="仿宋_GB2312" w:hAnsi="仿宋_GB2312" w:eastAsia="仿宋_GB2312" w:cs="仿宋_GB2312"/>
          <w:sz w:val="24"/>
          <w:szCs w:val="36"/>
          <w:lang w:val="en-US" w:eastAsia="zh-CN"/>
        </w:rPr>
        <w:t>10年以上；已达到规定使用年限，尚可继续使用的，应当继续使用。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Arial Narrow">
    <w:panose1 w:val="020B0606020202030204"/>
    <w:charset w:val="00"/>
    <w:family w:val="auto"/>
    <w:pitch w:val="default"/>
    <w:sig w:usb0="00000287" w:usb1="000008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Narrow">
    <w:panose1 w:val="020B0606020202030204"/>
    <w:charset w:val="01"/>
    <w:family w:val="swiss"/>
    <w:pitch w:val="default"/>
    <w:sig w:usb0="00000287" w:usb1="00000800" w:usb2="00000000" w:usb3="00000000" w:csb0="2000009F" w:csb1="DFD7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8" w:usb3="00000000" w:csb0="000001FF"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1BFD"/>
    <w:multiLevelType w:val="multilevel"/>
    <w:tmpl w:val="0B9C1BFD"/>
    <w:lvl w:ilvl="0" w:tentative="0">
      <w:start w:val="1"/>
      <w:numFmt w:val="japaneseCounting"/>
      <w:lvlText w:val="（%1）"/>
      <w:lvlJc w:val="left"/>
      <w:pPr>
        <w:ind w:left="1305" w:hanging="88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6AD827C0"/>
    <w:multiLevelType w:val="multilevel"/>
    <w:tmpl w:val="6AD827C0"/>
    <w:lvl w:ilvl="0" w:tentative="0">
      <w:start w:val="1"/>
      <w:numFmt w:val="japaneseCounting"/>
      <w:lvlText w:val="第%1条"/>
      <w:lvlJc w:val="left"/>
      <w:pPr>
        <w:ind w:left="2389" w:hanging="168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A6"/>
    <w:rsid w:val="000550D9"/>
    <w:rsid w:val="000C6EAF"/>
    <w:rsid w:val="004075FB"/>
    <w:rsid w:val="004D1614"/>
    <w:rsid w:val="00616162"/>
    <w:rsid w:val="00661C8B"/>
    <w:rsid w:val="0079158A"/>
    <w:rsid w:val="00850BC2"/>
    <w:rsid w:val="00905225"/>
    <w:rsid w:val="00AB643A"/>
    <w:rsid w:val="00AD7C20"/>
    <w:rsid w:val="00B853C4"/>
    <w:rsid w:val="00BF6BB7"/>
    <w:rsid w:val="00D9308D"/>
    <w:rsid w:val="00E04CA6"/>
    <w:rsid w:val="00E62EBC"/>
    <w:rsid w:val="0D5179DF"/>
    <w:rsid w:val="25195879"/>
    <w:rsid w:val="4ABB0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7"/>
    <w:unhideWhenUsed/>
    <w:qFormat/>
    <w:uiPriority w:val="99"/>
    <w:pPr>
      <w:ind w:left="100" w:leftChars="2500"/>
    </w:p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样式77777"/>
    <w:basedOn w:val="1"/>
    <w:qFormat/>
    <w:uiPriority w:val="0"/>
  </w:style>
  <w:style w:type="character" w:customStyle="1" w:styleId="7">
    <w:name w:val="日期 Char"/>
    <w:basedOn w:val="3"/>
    <w:link w:val="2"/>
    <w:semiHidden/>
    <w:qFormat/>
    <w:uiPriority w:val="99"/>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362</Words>
  <Characters>2068</Characters>
  <Lines>17</Lines>
  <Paragraphs>4</Paragraphs>
  <ScaleCrop>false</ScaleCrop>
  <LinksUpToDate>false</LinksUpToDate>
  <CharactersWithSpaces>2426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2016-09-21T10:38:00Z</dcterms:created>
  <dc:creator>zou</dc:creator>
  <cp:lastModifiedBy>马秀艳</cp:lastModifiedBy>
  <dcterms:modified xsi:type="dcterms:W3CDTF">2018-05-21T03:40:06Z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